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E8" w:rsidRDefault="005065E8" w:rsidP="005065E8">
      <w:pPr>
        <w:ind w:left="-284"/>
        <w:jc w:val="center"/>
        <w:rPr>
          <w:b/>
          <w:sz w:val="24"/>
          <w:szCs w:val="24"/>
        </w:rPr>
      </w:pPr>
      <w:bookmarkStart w:id="0" w:name="_GoBack"/>
      <w:bookmarkEnd w:id="0"/>
      <w:r w:rsidRPr="005065E8">
        <w:rPr>
          <w:b/>
          <w:sz w:val="24"/>
          <w:szCs w:val="24"/>
        </w:rPr>
        <w:t>XII</w:t>
      </w:r>
      <w:r w:rsidR="003159D2">
        <w:rPr>
          <w:b/>
          <w:sz w:val="24"/>
          <w:szCs w:val="24"/>
        </w:rPr>
        <w:t>I</w:t>
      </w:r>
      <w:r w:rsidRPr="005065E8">
        <w:rPr>
          <w:b/>
          <w:sz w:val="24"/>
          <w:szCs w:val="24"/>
        </w:rPr>
        <w:t xml:space="preserve"> JORNADA DE QUALITAT A L’ENSENYAMENT</w:t>
      </w:r>
    </w:p>
    <w:p w:rsidR="005065E8" w:rsidRPr="005065E8" w:rsidRDefault="00264B57" w:rsidP="005065E8">
      <w:pPr>
        <w:ind w:left="-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12</w:t>
      </w:r>
      <w:r w:rsidR="005065E8" w:rsidRPr="005065E8">
        <w:rPr>
          <w:b/>
          <w:sz w:val="16"/>
          <w:szCs w:val="16"/>
        </w:rPr>
        <w:t xml:space="preserve"> de novembre de 201</w:t>
      </w:r>
      <w:r>
        <w:rPr>
          <w:b/>
          <w:sz w:val="16"/>
          <w:szCs w:val="16"/>
        </w:rPr>
        <w:t>5</w:t>
      </w:r>
      <w:r w:rsidR="005065E8" w:rsidRPr="005065E8">
        <w:rPr>
          <w:b/>
          <w:sz w:val="16"/>
          <w:szCs w:val="16"/>
        </w:rPr>
        <w:t>, Campus de la UAB, Hotel Campus</w:t>
      </w:r>
    </w:p>
    <w:p w:rsidR="005065E8" w:rsidRDefault="005065E8" w:rsidP="00F80802">
      <w:pPr>
        <w:rPr>
          <w:b/>
        </w:rPr>
      </w:pPr>
      <w:r w:rsidRPr="00FB0B7C">
        <w:rPr>
          <w:b/>
        </w:rPr>
        <w:t>Proposta inicial de</w:t>
      </w:r>
      <w:r w:rsidR="00D671B0">
        <w:rPr>
          <w:b/>
        </w:rPr>
        <w:t xml:space="preserve"> temes</w:t>
      </w:r>
      <w:r w:rsidRPr="00FB0B7C">
        <w:rPr>
          <w:b/>
        </w:rPr>
        <w:t>:</w:t>
      </w:r>
    </w:p>
    <w:p w:rsidR="00FB0B7C" w:rsidRPr="00FB0B7C" w:rsidRDefault="00FB0B7C" w:rsidP="00F80802">
      <w:pPr>
        <w:rPr>
          <w:b/>
        </w:rPr>
      </w:pP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9355"/>
      </w:tblGrid>
      <w:tr w:rsidR="00FE0B75" w:rsidRPr="00FB0B7C" w:rsidTr="0003740A">
        <w:trPr>
          <w:trHeight w:val="438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FE0B75" w:rsidRPr="00FB0B7C" w:rsidRDefault="00FE0B75" w:rsidP="0003740A">
            <w:pPr>
              <w:jc w:val="center"/>
              <w:rPr>
                <w:rFonts w:cs="Arial"/>
                <w:sz w:val="18"/>
                <w:szCs w:val="18"/>
              </w:rPr>
            </w:pPr>
            <w:r w:rsidRPr="00FB0B7C">
              <w:rPr>
                <w:b/>
                <w:sz w:val="18"/>
                <w:szCs w:val="18"/>
              </w:rPr>
              <w:t>TAULES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FE0B75" w:rsidRPr="00FB0B7C" w:rsidRDefault="00FE0B75" w:rsidP="00FE0B75">
            <w:pPr>
              <w:jc w:val="left"/>
              <w:rPr>
                <w:rFonts w:cs="Arial"/>
                <w:sz w:val="18"/>
                <w:szCs w:val="18"/>
              </w:rPr>
            </w:pPr>
            <w:r w:rsidRPr="00FB0B7C">
              <w:rPr>
                <w:b/>
                <w:sz w:val="18"/>
                <w:szCs w:val="18"/>
              </w:rPr>
              <w:t>TEMES: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1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Incorporar la internacionalització de l'FP al Projecte Educatiu de Centre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2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 l'FP dual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3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Gestió de l’emprenedoria en el centre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4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Innovar amb empreses des de l'FP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5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 la Formació Interna de Centre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6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Estratègies per disminuir l'abandonament</w:t>
            </w:r>
            <w:r>
              <w:t xml:space="preserve"> </w:t>
            </w:r>
            <w:r w:rsidRPr="009C6982">
              <w:t>a l'FP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7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03740A">
            <w:r w:rsidRPr="009C6982">
              <w:t>Els projectes de col·laboració entre les escoles d’Art i el centres educatius del seu entorn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8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Els projectes de ciutat de les escoles de música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>
              <w:t>0</w:t>
            </w:r>
            <w:r w:rsidRPr="009C6982">
              <w:t>9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 Qualitat a les Escoles Oficials d’Idiomes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10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Metodologies per realitzar l’auditoria interna del sistema de gestió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11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L’autoavaluació del centre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12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Implementació de la nova ISO 9001:2015 als centres educatius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13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Model E2CAT aplicat als centres educatius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14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del procés d’ensenyament i aprenentatge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15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Els reptes de la nova funció directiva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16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Implementació del sistema de gestió ambiental a l’Institut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17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Dinamització d'equips de treball al centre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18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dels valors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19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dels indicadors i la presa de decisions en la revisió per la direcció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20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del pla de comunicació del centre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21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Les aliances entre empreses, organitzacions i instituts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22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Gestió de les persones del centre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23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Els programaris de gestió de la qualitat als centres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24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treball amb la Realitat Augmentada a l’aula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25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Les eines 2.0 a l'aula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26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Flipped classroom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27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Treball a l'aula amb mòbils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28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Entorns personals d'aprenentatge (PLE)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29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mSchools: Aplicacions mòbils a les famílies professionals d'Administració i Gestió, Arts Gràfiques, Comerç i Màrqueting i Informàtica i Comunicacions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30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Associació Espiral: Noves tendències en educació (gamificació, visual thinking, design thinking...)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31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Robòtica i programació educatives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32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Aplicacions educatives de la impressió en 3D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33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L’e-portfoli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34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Metodologies d'avaluació: Autoavaluació, coavaluació, rúbriques i bases d'orientació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35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Aprenentatge basat en problemes (PBL)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36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Metodologies per tal d'assolir els resultats d’aprenentatge en anglès a l’FP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37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tutoria a l'FP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38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del procés d’assessorament i reconeixement de l’experiència professional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39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Adaptacions curriculars dels títols a les necessitats del sector productiu.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40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La gestió de projectes multidisciplinaris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41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Treball per projectes: cas pràctic de metodologia aplicada a cicles formatius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42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tractament de les intel·ligències múltiples a l’escola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43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Activitats de servei a la comunitat de l’alumnat de l’ESO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44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Aprenentatge servei a la FP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45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Qualitat a la FP del País Basc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46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Transferència de la innovació entre els centres d'FP i les empreses al País Basc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47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Institut Pere Martell de Tarragona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48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Institut Cal·lípolis de Tarragona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49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Institut Marianao de Sant Boi de Ll.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50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Institut Bernat el Ferrer de Molins de Rei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51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Institut Escola del Treball de Barcelona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52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Escola Sadako de Barcelona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lastRenderedPageBreak/>
              <w:t>53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Escola Virolai de Barcelona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54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Horitzó 2020 de Jesuïtes Educació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55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Pr="009C6982" w:rsidRDefault="0003740A" w:rsidP="00B839A6">
            <w:r w:rsidRPr="009C6982">
              <w:t>El projecte de centre: Centre de Tecnologies Ituarte. Fundació Joan XXIII</w:t>
            </w:r>
          </w:p>
        </w:tc>
      </w:tr>
      <w:tr w:rsidR="0003740A" w:rsidRPr="00FB0B7C" w:rsidTr="008A13D0">
        <w:trPr>
          <w:trHeight w:val="170"/>
        </w:trPr>
        <w:tc>
          <w:tcPr>
            <w:tcW w:w="959" w:type="dxa"/>
            <w:shd w:val="clear" w:color="auto" w:fill="FFFFFF" w:themeFill="background1"/>
          </w:tcPr>
          <w:p w:rsidR="0003740A" w:rsidRPr="009C6982" w:rsidRDefault="0003740A" w:rsidP="0003740A">
            <w:pPr>
              <w:jc w:val="center"/>
            </w:pPr>
            <w:r w:rsidRPr="009C6982">
              <w:t>56</w:t>
            </w:r>
          </w:p>
        </w:tc>
        <w:tc>
          <w:tcPr>
            <w:tcW w:w="9355" w:type="dxa"/>
            <w:shd w:val="clear" w:color="auto" w:fill="FFFFFF" w:themeFill="background1"/>
          </w:tcPr>
          <w:p w:rsidR="0003740A" w:rsidRDefault="0003740A" w:rsidP="00B839A6">
            <w:r w:rsidRPr="009C6982">
              <w:t xml:space="preserve">El projecte de centre: </w:t>
            </w:r>
            <w:r w:rsidRPr="0003740A">
              <w:t>CCE Montessori - Palau</w:t>
            </w:r>
            <w:r w:rsidRPr="009C6982">
              <w:t xml:space="preserve"> de Girona</w:t>
            </w:r>
          </w:p>
        </w:tc>
      </w:tr>
    </w:tbl>
    <w:p w:rsidR="00264B57" w:rsidRDefault="00264B57" w:rsidP="00757280">
      <w:pPr>
        <w:rPr>
          <w:rFonts w:cs="Arial"/>
          <w:b/>
          <w:sz w:val="18"/>
          <w:szCs w:val="18"/>
        </w:rPr>
      </w:pPr>
    </w:p>
    <w:p w:rsidR="00D24ACB" w:rsidRPr="006E1B1E" w:rsidRDefault="00D24ACB" w:rsidP="00757280">
      <w:pPr>
        <w:rPr>
          <w:rFonts w:cs="Arial"/>
          <w:b/>
          <w:sz w:val="18"/>
          <w:szCs w:val="18"/>
        </w:rPr>
      </w:pPr>
      <w:r w:rsidRPr="006E1B1E">
        <w:rPr>
          <w:rFonts w:cs="Arial"/>
          <w:b/>
          <w:sz w:val="18"/>
          <w:szCs w:val="18"/>
        </w:rPr>
        <w:t xml:space="preserve">El dia de la Jornada es comunicarà la taula assignada al Work-cafè. Només es mantindran les taules que disposin d’una inscripció suficient. En cas de no poder assignar la primera taula </w:t>
      </w:r>
      <w:r w:rsidR="009B01CD" w:rsidRPr="006E1B1E">
        <w:rPr>
          <w:rFonts w:cs="Arial"/>
          <w:b/>
          <w:sz w:val="18"/>
          <w:szCs w:val="18"/>
        </w:rPr>
        <w:t>sol·licitada</w:t>
      </w:r>
      <w:r w:rsidRPr="006E1B1E">
        <w:rPr>
          <w:rFonts w:cs="Arial"/>
          <w:b/>
          <w:sz w:val="18"/>
          <w:szCs w:val="18"/>
        </w:rPr>
        <w:t xml:space="preserve"> </w:t>
      </w:r>
      <w:r w:rsidR="009B01CD" w:rsidRPr="006E1B1E">
        <w:rPr>
          <w:rFonts w:cs="Arial"/>
          <w:b/>
          <w:sz w:val="18"/>
          <w:szCs w:val="18"/>
        </w:rPr>
        <w:t>s’assignarà</w:t>
      </w:r>
      <w:r w:rsidRPr="006E1B1E">
        <w:rPr>
          <w:rFonts w:cs="Arial"/>
          <w:b/>
          <w:sz w:val="18"/>
          <w:szCs w:val="18"/>
        </w:rPr>
        <w:t xml:space="preserve"> la següent per odre </w:t>
      </w:r>
      <w:r w:rsidR="009B01CD" w:rsidRPr="006E1B1E">
        <w:rPr>
          <w:rFonts w:cs="Arial"/>
          <w:b/>
          <w:sz w:val="18"/>
          <w:szCs w:val="18"/>
        </w:rPr>
        <w:t xml:space="preserve">estricte </w:t>
      </w:r>
      <w:r w:rsidRPr="006E1B1E">
        <w:rPr>
          <w:rFonts w:cs="Arial"/>
          <w:b/>
          <w:sz w:val="18"/>
          <w:szCs w:val="18"/>
        </w:rPr>
        <w:t>de prioritat</w:t>
      </w:r>
      <w:r w:rsidR="009B01CD" w:rsidRPr="006E1B1E">
        <w:rPr>
          <w:rFonts w:cs="Arial"/>
          <w:b/>
          <w:sz w:val="18"/>
          <w:szCs w:val="18"/>
        </w:rPr>
        <w:t xml:space="preserve"> en la inscripció.</w:t>
      </w:r>
    </w:p>
    <w:sectPr w:rsidR="00D24ACB" w:rsidRPr="006E1B1E" w:rsidSect="005065E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530" w:right="992" w:bottom="1134" w:left="851" w:header="426" w:footer="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99" w:rsidRDefault="004F2999">
      <w:r>
        <w:separator/>
      </w:r>
    </w:p>
  </w:endnote>
  <w:endnote w:type="continuationSeparator" w:id="0">
    <w:p w:rsidR="004F2999" w:rsidRDefault="004F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87"/>
      <w:gridCol w:w="2964"/>
      <w:gridCol w:w="3479"/>
    </w:tblGrid>
    <w:tr w:rsidR="002B25A2" w:rsidTr="00A555A4">
      <w:tc>
        <w:tcPr>
          <w:tcW w:w="2987" w:type="dxa"/>
          <w:tcBorders>
            <w:top w:val="single" w:sz="4" w:space="0" w:color="auto"/>
          </w:tcBorders>
        </w:tcPr>
        <w:p w:rsidR="002B25A2" w:rsidRPr="00AE55C4" w:rsidRDefault="002B25A2" w:rsidP="00461725">
          <w:pPr>
            <w:pStyle w:val="Piedepgina"/>
            <w:rPr>
              <w:sz w:val="14"/>
            </w:rPr>
          </w:pPr>
        </w:p>
      </w:tc>
      <w:tc>
        <w:tcPr>
          <w:tcW w:w="2964" w:type="dxa"/>
          <w:tcBorders>
            <w:top w:val="single" w:sz="4" w:space="0" w:color="auto"/>
          </w:tcBorders>
        </w:tcPr>
        <w:p w:rsidR="002B25A2" w:rsidRPr="00AE55C4" w:rsidRDefault="002B25A2" w:rsidP="00461725">
          <w:pPr>
            <w:pStyle w:val="Piedepgina"/>
            <w:rPr>
              <w:sz w:val="14"/>
            </w:rPr>
          </w:pPr>
        </w:p>
      </w:tc>
      <w:tc>
        <w:tcPr>
          <w:tcW w:w="3479" w:type="dxa"/>
        </w:tcPr>
        <w:p w:rsidR="002B25A2" w:rsidRPr="00AE55C4" w:rsidRDefault="00357340" w:rsidP="00461725">
          <w:pPr>
            <w:pStyle w:val="Piedepgina"/>
            <w:rPr>
              <w:sz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 wp14:anchorId="2EC185AF" wp14:editId="51326709">
                <wp:simplePos x="0" y="0"/>
                <wp:positionH relativeFrom="column">
                  <wp:posOffset>327660</wp:posOffset>
                </wp:positionH>
                <wp:positionV relativeFrom="paragraph">
                  <wp:posOffset>-114935</wp:posOffset>
                </wp:positionV>
                <wp:extent cx="2360295" cy="924560"/>
                <wp:effectExtent l="0" t="0" r="1905" b="8890"/>
                <wp:wrapNone/>
                <wp:docPr id="1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0295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80802" w:rsidRPr="002B25A2" w:rsidTr="00DC45A4">
      <w:trPr>
        <w:trHeight w:val="937"/>
      </w:trPr>
      <w:tc>
        <w:tcPr>
          <w:tcW w:w="9430" w:type="dxa"/>
          <w:gridSpan w:val="3"/>
        </w:tcPr>
        <w:p w:rsidR="00F80802" w:rsidRDefault="00F80802" w:rsidP="00461725">
          <w:pPr>
            <w:pStyle w:val="Piedepgina"/>
            <w:rPr>
              <w:rFonts w:cs="Arial"/>
              <w:b/>
              <w:sz w:val="14"/>
              <w:szCs w:val="16"/>
            </w:rPr>
          </w:pPr>
        </w:p>
        <w:p w:rsidR="00F80802" w:rsidRPr="00D24ACB" w:rsidRDefault="00F80802" w:rsidP="00D24ACB">
          <w:pPr>
            <w:pStyle w:val="Piedepgina"/>
            <w:rPr>
              <w:rFonts w:cs="Arial"/>
              <w:b/>
              <w:sz w:val="14"/>
              <w:szCs w:val="16"/>
            </w:rPr>
          </w:pPr>
          <w:r w:rsidRPr="00AE55C4">
            <w:rPr>
              <w:rFonts w:cs="Arial"/>
              <w:b/>
              <w:sz w:val="14"/>
              <w:szCs w:val="16"/>
            </w:rPr>
            <w:t xml:space="preserve">Pagina </w:t>
          </w:r>
          <w:r w:rsidRPr="00AE55C4">
            <w:rPr>
              <w:rFonts w:cs="Arial"/>
              <w:b/>
              <w:sz w:val="14"/>
              <w:szCs w:val="16"/>
            </w:rPr>
            <w:fldChar w:fldCharType="begin"/>
          </w:r>
          <w:r w:rsidRPr="00AE55C4">
            <w:rPr>
              <w:rFonts w:cs="Arial"/>
              <w:b/>
              <w:sz w:val="14"/>
              <w:szCs w:val="16"/>
            </w:rPr>
            <w:instrText xml:space="preserve"> PAGE </w:instrText>
          </w:r>
          <w:r w:rsidRPr="00AE55C4">
            <w:rPr>
              <w:rFonts w:cs="Arial"/>
              <w:b/>
              <w:sz w:val="14"/>
              <w:szCs w:val="16"/>
            </w:rPr>
            <w:fldChar w:fldCharType="separate"/>
          </w:r>
          <w:r w:rsidR="000459BC">
            <w:rPr>
              <w:rFonts w:cs="Arial"/>
              <w:b/>
              <w:noProof/>
              <w:sz w:val="14"/>
              <w:szCs w:val="16"/>
            </w:rPr>
            <w:t>2</w:t>
          </w:r>
          <w:r w:rsidRPr="00AE55C4">
            <w:rPr>
              <w:rFonts w:cs="Arial"/>
              <w:b/>
              <w:sz w:val="14"/>
              <w:szCs w:val="16"/>
            </w:rPr>
            <w:fldChar w:fldCharType="end"/>
          </w:r>
          <w:r w:rsidRPr="00AE55C4">
            <w:rPr>
              <w:rFonts w:cs="Arial"/>
              <w:b/>
              <w:sz w:val="14"/>
              <w:szCs w:val="16"/>
            </w:rPr>
            <w:t xml:space="preserve"> de </w:t>
          </w:r>
          <w:r w:rsidRPr="00AE55C4">
            <w:rPr>
              <w:rFonts w:cs="Arial"/>
              <w:b/>
              <w:sz w:val="14"/>
              <w:szCs w:val="16"/>
            </w:rPr>
            <w:fldChar w:fldCharType="begin"/>
          </w:r>
          <w:r w:rsidRPr="00AE55C4">
            <w:rPr>
              <w:rFonts w:cs="Arial"/>
              <w:b/>
              <w:sz w:val="14"/>
              <w:szCs w:val="16"/>
            </w:rPr>
            <w:instrText xml:space="preserve"> NUMPAGES </w:instrText>
          </w:r>
          <w:r w:rsidRPr="00AE55C4">
            <w:rPr>
              <w:rFonts w:cs="Arial"/>
              <w:b/>
              <w:sz w:val="14"/>
              <w:szCs w:val="16"/>
            </w:rPr>
            <w:fldChar w:fldCharType="separate"/>
          </w:r>
          <w:r w:rsidR="000459BC">
            <w:rPr>
              <w:rFonts w:cs="Arial"/>
              <w:b/>
              <w:noProof/>
              <w:sz w:val="14"/>
              <w:szCs w:val="16"/>
            </w:rPr>
            <w:t>2</w:t>
          </w:r>
          <w:r w:rsidRPr="00AE55C4">
            <w:rPr>
              <w:rFonts w:cs="Arial"/>
              <w:b/>
              <w:sz w:val="14"/>
              <w:szCs w:val="16"/>
            </w:rPr>
            <w:fldChar w:fldCharType="end"/>
          </w:r>
          <w:r w:rsidR="00D24ACB">
            <w:rPr>
              <w:rFonts w:cs="Arial"/>
              <w:b/>
              <w:sz w:val="14"/>
              <w:szCs w:val="16"/>
            </w:rPr>
            <w:t xml:space="preserve"> </w:t>
          </w:r>
        </w:p>
        <w:p w:rsidR="00F80802" w:rsidRPr="00AE55C4" w:rsidRDefault="0003740A" w:rsidP="00C46ED8">
          <w:pPr>
            <w:pStyle w:val="Piedepgina"/>
            <w:jc w:val="right"/>
            <w:rPr>
              <w:rFonts w:cs="Arial"/>
              <w:b/>
              <w:sz w:val="14"/>
              <w:szCs w:val="16"/>
            </w:rPr>
          </w:pPr>
          <w:r>
            <w:rPr>
              <w:rFonts w:cs="Arial"/>
              <w:b/>
              <w:sz w:val="14"/>
              <w:szCs w:val="16"/>
            </w:rPr>
            <w:t xml:space="preserve">        </w:t>
          </w:r>
        </w:p>
      </w:tc>
    </w:tr>
  </w:tbl>
  <w:p w:rsidR="00F07854" w:rsidRDefault="00F07854" w:rsidP="002B25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D8" w:rsidRDefault="005065E8">
    <w:pPr>
      <w:pStyle w:val="Piedepgina"/>
    </w:pPr>
    <w:r>
      <w:rPr>
        <w:noProof/>
        <w:lang w:val="es-ES"/>
      </w:rPr>
      <w:drawing>
        <wp:anchor distT="0" distB="0" distL="114300" distR="114300" simplePos="0" relativeHeight="251662848" behindDoc="0" locked="0" layoutInCell="1" allowOverlap="1" wp14:anchorId="0A5B826D" wp14:editId="73A73E5A">
          <wp:simplePos x="0" y="0"/>
          <wp:positionH relativeFrom="column">
            <wp:posOffset>5415143</wp:posOffset>
          </wp:positionH>
          <wp:positionV relativeFrom="paragraph">
            <wp:posOffset>-881473</wp:posOffset>
          </wp:positionV>
          <wp:extent cx="1280160" cy="921610"/>
          <wp:effectExtent l="0" t="114300" r="0" b="43116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50" r="58149" b="27621"/>
                  <a:stretch/>
                </pic:blipFill>
                <pic:spPr bwMode="auto">
                  <a:xfrm>
                    <a:off x="0" y="0"/>
                    <a:ext cx="1282576" cy="92334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scene3d>
                    <a:camera prst="perspectiveContrastingRightFacing"/>
                    <a:lightRig rig="threePt" dir="t"/>
                  </a:scene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ED8"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720FE9B8" wp14:editId="67862EC1">
          <wp:simplePos x="0" y="0"/>
          <wp:positionH relativeFrom="column">
            <wp:posOffset>-135255</wp:posOffset>
          </wp:positionH>
          <wp:positionV relativeFrom="paragraph">
            <wp:posOffset>-398145</wp:posOffset>
          </wp:positionV>
          <wp:extent cx="2009775" cy="369570"/>
          <wp:effectExtent l="0" t="0" r="9525" b="0"/>
          <wp:wrapNone/>
          <wp:docPr id="7" name="Imagen 7" descr="Pqi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qim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99" w:rsidRDefault="004F2999">
      <w:r>
        <w:separator/>
      </w:r>
    </w:p>
  </w:footnote>
  <w:footnote w:type="continuationSeparator" w:id="0">
    <w:p w:rsidR="004F2999" w:rsidRDefault="004F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54" w:rsidRDefault="00C46ED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4656" behindDoc="0" locked="0" layoutInCell="0" allowOverlap="1" wp14:anchorId="06A959B8" wp14:editId="29E38A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5350" cy="1066800"/>
          <wp:effectExtent l="0" t="0" r="0" b="0"/>
          <wp:wrapTopAndBottom/>
          <wp:docPr id="9" name="Imagen 2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3632" behindDoc="0" locked="0" layoutInCell="0" allowOverlap="1" wp14:anchorId="193B07F3" wp14:editId="08ACBB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5350" cy="1066800"/>
          <wp:effectExtent l="0" t="0" r="0" b="0"/>
          <wp:wrapTopAndBottom/>
          <wp:docPr id="6" name="Imagen 1" descr="C:\WINDOWS\Mis documentos\SENYALS\GENCA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Mis documentos\SENYALS\GENCAT.BMP"/>
                  <pic:cNvPicPr>
                    <a:picLocks noChangeAspect="1" noChangeArrowheads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6595E5F8" wp14:editId="42A44A83">
          <wp:extent cx="257175" cy="304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54" w:rsidRDefault="00C46ED8">
    <w:pPr>
      <w:spacing w:line="240" w:lineRule="exact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33CB6140" wp14:editId="1C5EB00A">
          <wp:simplePos x="0" y="0"/>
          <wp:positionH relativeFrom="column">
            <wp:posOffset>4245610</wp:posOffset>
          </wp:positionH>
          <wp:positionV relativeFrom="paragraph">
            <wp:posOffset>10160</wp:posOffset>
          </wp:positionV>
          <wp:extent cx="2009775" cy="369570"/>
          <wp:effectExtent l="0" t="0" r="9525" b="0"/>
          <wp:wrapNone/>
          <wp:docPr id="4" name="Imagen 4" descr="Pqi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qi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779436A9" wp14:editId="0C01F918">
          <wp:simplePos x="0" y="0"/>
          <wp:positionH relativeFrom="column">
            <wp:posOffset>-250825</wp:posOffset>
          </wp:positionH>
          <wp:positionV relativeFrom="paragraph">
            <wp:posOffset>10160</wp:posOffset>
          </wp:positionV>
          <wp:extent cx="191770" cy="228600"/>
          <wp:effectExtent l="0" t="0" r="0" b="0"/>
          <wp:wrapTopAndBottom/>
          <wp:docPr id="3" name="Imagen 3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N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854">
      <w:t>Generalitat de Catalunya</w:t>
    </w:r>
  </w:p>
  <w:p w:rsidR="00F07854" w:rsidRDefault="00461725">
    <w:pPr>
      <w:pStyle w:val="Encabezado"/>
    </w:pPr>
    <w:r>
      <w:t>Departament d’Ensenyament</w:t>
    </w:r>
  </w:p>
  <w:p w:rsidR="0030572D" w:rsidRDefault="00461725">
    <w:pPr>
      <w:pStyle w:val="Encabezado"/>
      <w:rPr>
        <w:b/>
      </w:rPr>
    </w:pPr>
    <w:r w:rsidRPr="002B25A2">
      <w:rPr>
        <w:b/>
      </w:rPr>
      <w:t>Direcció General de Formació Professional</w:t>
    </w:r>
    <w:r w:rsidR="0030572D">
      <w:rPr>
        <w:b/>
      </w:rPr>
      <w:t xml:space="preserve"> </w:t>
    </w:r>
    <w:r w:rsidRPr="002B25A2">
      <w:rPr>
        <w:b/>
      </w:rPr>
      <w:t>Inicial</w:t>
    </w:r>
  </w:p>
  <w:p w:rsidR="00461725" w:rsidRPr="002B25A2" w:rsidRDefault="00461725">
    <w:pPr>
      <w:pStyle w:val="Encabezado"/>
      <w:rPr>
        <w:b/>
      </w:rPr>
    </w:pPr>
    <w:r w:rsidRPr="002B25A2">
      <w:rPr>
        <w:b/>
      </w:rPr>
      <w:t>i</w:t>
    </w:r>
    <w:r w:rsidR="002B25A2" w:rsidRPr="002B25A2">
      <w:rPr>
        <w:b/>
      </w:rPr>
      <w:t xml:space="preserve"> </w:t>
    </w:r>
    <w:r w:rsidRPr="002B25A2">
      <w:rPr>
        <w:b/>
      </w:rPr>
      <w:t>Ensenyaments de Règim Especial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D8" w:rsidRDefault="00C46ED8" w:rsidP="00C46ED8">
    <w:pPr>
      <w:spacing w:line="240" w:lineRule="exact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1C2739C2" wp14:editId="27DF8CB6">
          <wp:simplePos x="0" y="0"/>
          <wp:positionH relativeFrom="column">
            <wp:posOffset>4518660</wp:posOffset>
          </wp:positionH>
          <wp:positionV relativeFrom="paragraph">
            <wp:posOffset>-146050</wp:posOffset>
          </wp:positionV>
          <wp:extent cx="1863090" cy="730250"/>
          <wp:effectExtent l="0" t="0" r="381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4625F5AA" wp14:editId="394E428A">
          <wp:simplePos x="0" y="0"/>
          <wp:positionH relativeFrom="column">
            <wp:posOffset>-250825</wp:posOffset>
          </wp:positionH>
          <wp:positionV relativeFrom="paragraph">
            <wp:posOffset>10160</wp:posOffset>
          </wp:positionV>
          <wp:extent cx="191770" cy="228600"/>
          <wp:effectExtent l="0" t="0" r="0" b="0"/>
          <wp:wrapTopAndBottom/>
          <wp:docPr id="5" name="Imagen 5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N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Generalitat de Catalunya</w:t>
    </w:r>
  </w:p>
  <w:p w:rsidR="00C46ED8" w:rsidRDefault="00C46ED8" w:rsidP="00C46ED8">
    <w:pPr>
      <w:pStyle w:val="Encabezado"/>
    </w:pPr>
    <w:r>
      <w:t>Departament d’Ensenyament</w:t>
    </w:r>
  </w:p>
  <w:p w:rsidR="00C46ED8" w:rsidRDefault="00C46ED8" w:rsidP="00C46ED8">
    <w:pPr>
      <w:pStyle w:val="Encabezado"/>
      <w:rPr>
        <w:b/>
      </w:rPr>
    </w:pPr>
    <w:r w:rsidRPr="002B25A2">
      <w:rPr>
        <w:b/>
      </w:rPr>
      <w:t>Direcció General de Formació Professional</w:t>
    </w:r>
    <w:r>
      <w:rPr>
        <w:b/>
      </w:rPr>
      <w:t xml:space="preserve"> </w:t>
    </w:r>
    <w:r w:rsidRPr="002B25A2">
      <w:rPr>
        <w:b/>
      </w:rPr>
      <w:t>Inicial</w:t>
    </w:r>
  </w:p>
  <w:p w:rsidR="00C46ED8" w:rsidRPr="002B25A2" w:rsidRDefault="00C46ED8" w:rsidP="00C46ED8">
    <w:pPr>
      <w:pStyle w:val="Encabezado"/>
      <w:rPr>
        <w:b/>
      </w:rPr>
    </w:pPr>
    <w:r w:rsidRPr="002B25A2">
      <w:rPr>
        <w:b/>
      </w:rPr>
      <w:t>i Ensenyaments de Règim Especial</w:t>
    </w:r>
  </w:p>
  <w:p w:rsidR="00C46ED8" w:rsidRDefault="00C46E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1F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C86525"/>
    <w:multiLevelType w:val="hybridMultilevel"/>
    <w:tmpl w:val="A3543508"/>
    <w:lvl w:ilvl="0" w:tplc="DBC6B7C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8"/>
    <w:rsid w:val="0003740A"/>
    <w:rsid w:val="00037670"/>
    <w:rsid w:val="000459BC"/>
    <w:rsid w:val="000476AE"/>
    <w:rsid w:val="000544EB"/>
    <w:rsid w:val="000607A6"/>
    <w:rsid w:val="00070D96"/>
    <w:rsid w:val="000A392F"/>
    <w:rsid w:val="000A3FDA"/>
    <w:rsid w:val="000C1CC3"/>
    <w:rsid w:val="000D2A3F"/>
    <w:rsid w:val="000D5610"/>
    <w:rsid w:val="000E424C"/>
    <w:rsid w:val="00103250"/>
    <w:rsid w:val="001065DA"/>
    <w:rsid w:val="00182822"/>
    <w:rsid w:val="001943A1"/>
    <w:rsid w:val="001A4B33"/>
    <w:rsid w:val="001A584B"/>
    <w:rsid w:val="001A7DBD"/>
    <w:rsid w:val="001D025C"/>
    <w:rsid w:val="00202943"/>
    <w:rsid w:val="0021205A"/>
    <w:rsid w:val="00216C7D"/>
    <w:rsid w:val="00217B78"/>
    <w:rsid w:val="002245CC"/>
    <w:rsid w:val="00243445"/>
    <w:rsid w:val="0024755E"/>
    <w:rsid w:val="00250814"/>
    <w:rsid w:val="00264B57"/>
    <w:rsid w:val="00291C1D"/>
    <w:rsid w:val="002B25A2"/>
    <w:rsid w:val="002C1D0A"/>
    <w:rsid w:val="002C660D"/>
    <w:rsid w:val="002D5CDA"/>
    <w:rsid w:val="002E63C1"/>
    <w:rsid w:val="002F5E53"/>
    <w:rsid w:val="002F644C"/>
    <w:rsid w:val="0030005F"/>
    <w:rsid w:val="003044B9"/>
    <w:rsid w:val="0030572D"/>
    <w:rsid w:val="003159D2"/>
    <w:rsid w:val="00315B76"/>
    <w:rsid w:val="003329B9"/>
    <w:rsid w:val="003332EF"/>
    <w:rsid w:val="00342191"/>
    <w:rsid w:val="00346D16"/>
    <w:rsid w:val="00350840"/>
    <w:rsid w:val="00351CFF"/>
    <w:rsid w:val="00357340"/>
    <w:rsid w:val="0036211E"/>
    <w:rsid w:val="00373150"/>
    <w:rsid w:val="00376D39"/>
    <w:rsid w:val="003D21A1"/>
    <w:rsid w:val="003F1FB1"/>
    <w:rsid w:val="00401AD8"/>
    <w:rsid w:val="004031C5"/>
    <w:rsid w:val="00407F32"/>
    <w:rsid w:val="00413B73"/>
    <w:rsid w:val="004173FC"/>
    <w:rsid w:val="004258ED"/>
    <w:rsid w:val="00461725"/>
    <w:rsid w:val="004623A2"/>
    <w:rsid w:val="0048077A"/>
    <w:rsid w:val="00480C53"/>
    <w:rsid w:val="004B4BBB"/>
    <w:rsid w:val="004E20F9"/>
    <w:rsid w:val="004F1317"/>
    <w:rsid w:val="004F2999"/>
    <w:rsid w:val="0050075B"/>
    <w:rsid w:val="00501411"/>
    <w:rsid w:val="005065E8"/>
    <w:rsid w:val="00506900"/>
    <w:rsid w:val="00533EA1"/>
    <w:rsid w:val="00546DC4"/>
    <w:rsid w:val="0054752A"/>
    <w:rsid w:val="005539AF"/>
    <w:rsid w:val="00574F18"/>
    <w:rsid w:val="005A1A64"/>
    <w:rsid w:val="005D2FB2"/>
    <w:rsid w:val="005E63EB"/>
    <w:rsid w:val="005F172D"/>
    <w:rsid w:val="005F1860"/>
    <w:rsid w:val="00600EDA"/>
    <w:rsid w:val="00625857"/>
    <w:rsid w:val="0068406A"/>
    <w:rsid w:val="00695688"/>
    <w:rsid w:val="00695742"/>
    <w:rsid w:val="006A0D0B"/>
    <w:rsid w:val="006C475F"/>
    <w:rsid w:val="006D1332"/>
    <w:rsid w:val="006E1B1E"/>
    <w:rsid w:val="006F10CC"/>
    <w:rsid w:val="00707D3D"/>
    <w:rsid w:val="00710084"/>
    <w:rsid w:val="00757280"/>
    <w:rsid w:val="00763F79"/>
    <w:rsid w:val="00772B38"/>
    <w:rsid w:val="0078543B"/>
    <w:rsid w:val="0078621C"/>
    <w:rsid w:val="007D5A50"/>
    <w:rsid w:val="007F06B6"/>
    <w:rsid w:val="00803940"/>
    <w:rsid w:val="00815E48"/>
    <w:rsid w:val="0082748A"/>
    <w:rsid w:val="00827D5F"/>
    <w:rsid w:val="00863734"/>
    <w:rsid w:val="008744F1"/>
    <w:rsid w:val="0088526A"/>
    <w:rsid w:val="008A13D0"/>
    <w:rsid w:val="008B1773"/>
    <w:rsid w:val="008C3AD8"/>
    <w:rsid w:val="008E19B7"/>
    <w:rsid w:val="008E49A2"/>
    <w:rsid w:val="008E5947"/>
    <w:rsid w:val="008F3EF1"/>
    <w:rsid w:val="009036BA"/>
    <w:rsid w:val="009047A7"/>
    <w:rsid w:val="00905BC6"/>
    <w:rsid w:val="00911494"/>
    <w:rsid w:val="00974B30"/>
    <w:rsid w:val="009808D8"/>
    <w:rsid w:val="009830FF"/>
    <w:rsid w:val="009A5695"/>
    <w:rsid w:val="009B01CD"/>
    <w:rsid w:val="009E0F88"/>
    <w:rsid w:val="00A33FF9"/>
    <w:rsid w:val="00A346DD"/>
    <w:rsid w:val="00A555A4"/>
    <w:rsid w:val="00A65647"/>
    <w:rsid w:val="00A73558"/>
    <w:rsid w:val="00A748E3"/>
    <w:rsid w:val="00A86E20"/>
    <w:rsid w:val="00AB229F"/>
    <w:rsid w:val="00AC6B99"/>
    <w:rsid w:val="00AE3452"/>
    <w:rsid w:val="00AE55C4"/>
    <w:rsid w:val="00AE7F97"/>
    <w:rsid w:val="00B06226"/>
    <w:rsid w:val="00B118E3"/>
    <w:rsid w:val="00B24BC9"/>
    <w:rsid w:val="00B34043"/>
    <w:rsid w:val="00B35BE6"/>
    <w:rsid w:val="00B936C1"/>
    <w:rsid w:val="00B95D58"/>
    <w:rsid w:val="00BA5BBF"/>
    <w:rsid w:val="00BC2910"/>
    <w:rsid w:val="00BC69EE"/>
    <w:rsid w:val="00BC6D94"/>
    <w:rsid w:val="00BD77E1"/>
    <w:rsid w:val="00BF068F"/>
    <w:rsid w:val="00C02492"/>
    <w:rsid w:val="00C11993"/>
    <w:rsid w:val="00C11AC9"/>
    <w:rsid w:val="00C137DA"/>
    <w:rsid w:val="00C42F98"/>
    <w:rsid w:val="00C46ED8"/>
    <w:rsid w:val="00C62633"/>
    <w:rsid w:val="00C679CF"/>
    <w:rsid w:val="00C76A2E"/>
    <w:rsid w:val="00C854F1"/>
    <w:rsid w:val="00C859BF"/>
    <w:rsid w:val="00C86B83"/>
    <w:rsid w:val="00CB197A"/>
    <w:rsid w:val="00CC16C6"/>
    <w:rsid w:val="00CC1978"/>
    <w:rsid w:val="00CF4E8E"/>
    <w:rsid w:val="00D23EDD"/>
    <w:rsid w:val="00D24ACB"/>
    <w:rsid w:val="00D3024C"/>
    <w:rsid w:val="00D671B0"/>
    <w:rsid w:val="00D76E46"/>
    <w:rsid w:val="00DA745C"/>
    <w:rsid w:val="00DB6AB9"/>
    <w:rsid w:val="00DD37A8"/>
    <w:rsid w:val="00DE79DC"/>
    <w:rsid w:val="00DF2051"/>
    <w:rsid w:val="00DF4B4A"/>
    <w:rsid w:val="00DF72DA"/>
    <w:rsid w:val="00DF7563"/>
    <w:rsid w:val="00E04CF5"/>
    <w:rsid w:val="00E110E9"/>
    <w:rsid w:val="00E35444"/>
    <w:rsid w:val="00E45AF5"/>
    <w:rsid w:val="00E57664"/>
    <w:rsid w:val="00E70F31"/>
    <w:rsid w:val="00EB0AC8"/>
    <w:rsid w:val="00ED32E1"/>
    <w:rsid w:val="00EE5BFA"/>
    <w:rsid w:val="00F07854"/>
    <w:rsid w:val="00F12931"/>
    <w:rsid w:val="00F14E7F"/>
    <w:rsid w:val="00F37555"/>
    <w:rsid w:val="00F77670"/>
    <w:rsid w:val="00F80802"/>
    <w:rsid w:val="00FA285F"/>
    <w:rsid w:val="00FB091F"/>
    <w:rsid w:val="00FB0B7C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99D70CBC-0136-4F1F-BA93-CD521DBE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11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F14E7F"/>
    <w:pPr>
      <w:keepNext/>
      <w:outlineLvl w:val="0"/>
    </w:pPr>
    <w:rPr>
      <w:i/>
      <w:snapToGrid w:val="0"/>
      <w:lang w:val="es-ES"/>
    </w:rPr>
  </w:style>
  <w:style w:type="paragraph" w:styleId="Ttulo2">
    <w:name w:val="heading 2"/>
    <w:basedOn w:val="Normal"/>
    <w:next w:val="Normal"/>
    <w:qFormat/>
    <w:rsid w:val="00F14E7F"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F14E7F"/>
    <w:pPr>
      <w:keepNext/>
      <w:outlineLvl w:val="2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14E7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F14E7F"/>
    <w:pPr>
      <w:tabs>
        <w:tab w:val="center" w:pos="4153"/>
        <w:tab w:val="right" w:pos="8306"/>
      </w:tabs>
    </w:pPr>
  </w:style>
  <w:style w:type="character" w:styleId="Hipervnculo">
    <w:name w:val="Hyperlink"/>
    <w:rsid w:val="00F14E7F"/>
    <w:rPr>
      <w:color w:val="0000FF"/>
      <w:u w:val="single"/>
    </w:rPr>
  </w:style>
  <w:style w:type="paragraph" w:styleId="NormalWeb">
    <w:name w:val="Normal (Web)"/>
    <w:basedOn w:val="Normal"/>
    <w:rsid w:val="00F14E7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H4">
    <w:name w:val="H4"/>
    <w:basedOn w:val="Normal"/>
    <w:next w:val="Normal"/>
    <w:rsid w:val="00F14E7F"/>
    <w:pPr>
      <w:keepNext/>
      <w:spacing w:before="100" w:after="100"/>
      <w:jc w:val="left"/>
      <w:outlineLvl w:val="4"/>
    </w:pPr>
    <w:rPr>
      <w:rFonts w:ascii="Times New Roman" w:hAnsi="Times New Roman"/>
      <w:b/>
      <w:snapToGrid w:val="0"/>
      <w:lang w:val="es-ES"/>
    </w:rPr>
  </w:style>
  <w:style w:type="table" w:styleId="Tablaconcuadrcula">
    <w:name w:val="Table Grid"/>
    <w:basedOn w:val="Tablanormal"/>
    <w:rsid w:val="002B25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A5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A5BBF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D37A8"/>
    <w:pPr>
      <w:ind w:left="720" w:hanging="397"/>
      <w:contextualSpacing/>
    </w:pPr>
    <w:rPr>
      <w:sz w:val="22"/>
      <w:lang w:val="es-ES"/>
    </w:rPr>
  </w:style>
  <w:style w:type="character" w:styleId="Hipervnculovisitado">
    <w:name w:val="FollowedHyperlink"/>
    <w:basedOn w:val="Fuentedeprrafopredeter"/>
    <w:rsid w:val="00600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WINDOWS\Mis%20documentos\SENYALS\GENCAT.BMP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s\AppData\Roaming\Microsoft\Plantillas\PQIM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6A25-9C77-43AC-BE07-BDE6DBDA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PQIMC2</Template>
  <TotalTime>1</TotalTime>
  <Pages>2</Pages>
  <Words>554</Words>
  <Characters>3047</Characters>
  <Application>Microsoft Office Word</Application>
  <DocSecurity>4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Mag</vt:lpstr>
      <vt:lpstr>Mag</vt:lpstr>
    </vt:vector>
  </TitlesOfParts>
  <Company>Generalitat de Catalunya</Company>
  <LinksUpToDate>false</LinksUpToDate>
  <CharactersWithSpaces>3594</CharactersWithSpaces>
  <SharedDoc>false</SharedDoc>
  <HLinks>
    <vt:vector size="12" baseType="variant">
      <vt:variant>
        <vt:i4>5898252</vt:i4>
      </vt:variant>
      <vt:variant>
        <vt:i4>-1</vt:i4>
      </vt:variant>
      <vt:variant>
        <vt:i4>2050</vt:i4>
      </vt:variant>
      <vt:variant>
        <vt:i4>1</vt:i4>
      </vt:variant>
      <vt:variant>
        <vt:lpwstr>C:\WINDOWS\Mis documentos\SENYALS\GENCAT.BMP</vt:lpwstr>
      </vt:variant>
      <vt:variant>
        <vt:lpwstr/>
      </vt:variant>
      <vt:variant>
        <vt:i4>983080</vt:i4>
      </vt:variant>
      <vt:variant>
        <vt:i4>-1</vt:i4>
      </vt:variant>
      <vt:variant>
        <vt:i4>2051</vt:i4>
      </vt:variant>
      <vt:variant>
        <vt:i4>1</vt:i4>
      </vt:variant>
      <vt:variant>
        <vt:lpwstr>C:\Laura\Seguretat\GENCAT.BMP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</dc:title>
  <dc:creator>Andrés Villena</dc:creator>
  <cp:lastModifiedBy>Olga Hernández</cp:lastModifiedBy>
  <cp:revision>2</cp:revision>
  <cp:lastPrinted>2015-10-07T14:08:00Z</cp:lastPrinted>
  <dcterms:created xsi:type="dcterms:W3CDTF">2015-10-07T14:09:00Z</dcterms:created>
  <dcterms:modified xsi:type="dcterms:W3CDTF">2015-10-07T14:09:00Z</dcterms:modified>
</cp:coreProperties>
</file>